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54" w:rsidRDefault="00732654" w:rsidP="00FC6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                                                        «Затверджую»</w:t>
      </w:r>
    </w:p>
    <w:p w:rsidR="00A35643" w:rsidRDefault="00732654" w:rsidP="00FC6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       </w:t>
      </w:r>
      <w:r w:rsidR="003B4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</w:t>
      </w:r>
      <w:r w:rsidR="003B4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    Голова ГРФФ                   </w:t>
      </w:r>
      <w:r w:rsidR="00A35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Іван Бабій</w:t>
      </w:r>
    </w:p>
    <w:p w:rsidR="00732654" w:rsidRDefault="00732654" w:rsidP="00FC6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FC6258" w:rsidRPr="00FC6258" w:rsidRDefault="00732654" w:rsidP="00732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         ПОЛОЖЕННЯ                                                                                                                                                                                                           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F36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Чемпіонату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Галицького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району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міні-футболу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</w:t>
      </w:r>
      <w:r w:rsidR="00F36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року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FC6258" w:rsidRPr="00FC6258" w:rsidRDefault="007D4D70" w:rsidP="00FC6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І. ЦІЛІ І ЗАВДАННЯ 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1. Змагання проводяться з метою: 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популяризац</w:t>
      </w:r>
      <w:r w:rsidR="00A35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ії і подальшого розвитку міні-футболу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районі; 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виявлення н</w:t>
      </w:r>
      <w:r w:rsidR="00A35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айсильніших команд 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 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організації відпочинку на селі;</w:t>
      </w:r>
    </w:p>
    <w:p w:rsidR="00FC6258" w:rsidRPr="00FC6258" w:rsidRDefault="007D4D70" w:rsidP="00FC6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ІІ. КЕРІВНИЦТВО ЗМАГАННЯМИ 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2.1. Загальне керівництво змаганнями здійснюється феде</w:t>
      </w:r>
      <w:r w:rsidR="00A35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рацією футболу Галицького</w:t>
      </w:r>
      <w:r w:rsidR="007A72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 (</w:t>
      </w:r>
      <w:proofErr w:type="spellStart"/>
      <w:r w:rsidR="007A72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далі-ГРФФ</w:t>
      </w:r>
      <w:proofErr w:type="spellEnd"/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 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Безпосереднє керівництво проведенням змагань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окладається на головну суддівсь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 колегі</w:t>
      </w:r>
      <w:r w:rsidR="00A35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 (головний суддя – Бабій І.В.), затверджену президією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федерації футболу. 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2.2. Все, що не передбачено цим Положенням, розгляда</w:t>
      </w:r>
      <w:r w:rsidR="00A35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ється та вирішується президією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федерації футболу.</w:t>
      </w:r>
    </w:p>
    <w:p w:rsidR="00FC6258" w:rsidRPr="00FC6258" w:rsidRDefault="00CA1EFA" w:rsidP="00FC6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</w:t>
      </w:r>
      <w:r w:rsidR="007D4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</w:t>
      </w:r>
      <w:r w:rsidR="007D4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 УЧАСНИКИ ЗМАГАНЬ 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3.1. До участі в </w:t>
      </w:r>
      <w:r w:rsidR="00A35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змаганнях допускаються 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команди</w:t>
      </w:r>
      <w:r w:rsidR="00A35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району, 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складені з гравців, які мають або мали ра</w:t>
      </w:r>
      <w:r w:rsidR="00A35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ніше прописку в Галицькому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районі, а також</w:t>
      </w:r>
      <w:r w:rsidR="00A35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гравці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5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приймали участь в чемпіонаті та першості району з футболу 2016 року.</w:t>
      </w:r>
      <w:r w:rsidR="00A93F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="00A35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3.2. Склад команди 16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гравців, один тренер та представник команди.</w:t>
      </w:r>
    </w:p>
    <w:p w:rsidR="00FC6258" w:rsidRDefault="007D4D70" w:rsidP="00FC6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ІY.УМОВИ ПРОВЕДЕННЯ ЗМАГАНЬ 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4.1. Змагання проводя</w:t>
      </w:r>
      <w:r w:rsidR="00A35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 за правилами ФІФА з міні-футболу</w:t>
      </w:r>
      <w:r w:rsidR="00A93F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(5х5, два тайми по 15 хв.),</w:t>
      </w:r>
      <w:r w:rsidR="001070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площадках зі штучним покриттям.. </w:t>
      </w:r>
      <w:r w:rsidR="001070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 4.2. Змагання </w:t>
      </w:r>
      <w:r w:rsidR="00C73B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проводяться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4 групах</w:t>
      </w:r>
      <w:r w:rsidR="00C73B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коловій системі, команди які в групах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йняли 1-2 місця  вступають в наступний</w:t>
      </w:r>
      <w:r w:rsidR="00C73B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етап змагань де зустрічаються з іншими командами згідно жеребкування</w:t>
      </w:r>
      <w:r w:rsidR="00A93F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C73B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всіх етапах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визнач</w:t>
      </w:r>
      <w:r w:rsidR="00F36B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ають чемпіона району з міні футболу</w:t>
      </w:r>
      <w:r w:rsidR="00C73B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C73B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4.3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Склад учасників першості, календар зм</w:t>
      </w:r>
      <w:r w:rsidR="00C73B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агань, затверджуються президією фе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дерації футболу. 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4.5.Тренер-представник команди зобов’язаний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 хвилин до початку гри розбір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ливо внести в протокол гри прізвища та імена гравц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ів, заявлених на гру з вказаними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їх номерів і надати судді заявку команди та документи що підтверджують особистість. В протокол гри вносяться 12 гравців. 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Команда-господар заповнює протокол першою. 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Представники команд підписують протокол гри до початку матчу.</w:t>
      </w:r>
    </w:p>
    <w:p w:rsidR="003B4B3B" w:rsidRPr="00FC6258" w:rsidRDefault="003B4B3B" w:rsidP="00FC6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C6258" w:rsidRPr="00FC6258" w:rsidRDefault="003B4B3B" w:rsidP="007D4D70">
      <w:pPr>
        <w:shd w:val="clear" w:color="auto" w:fill="FFFFFF"/>
        <w:spacing w:before="100" w:beforeAutospacing="1" w:after="100" w:afterAutospacing="1" w:line="240" w:lineRule="auto"/>
        <w:ind w:firstLine="95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Y. ПОРЯДОК</w:t>
      </w:r>
      <w:r w:rsidR="005013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УМОВИ ВИЯВЛЕННЯ ПЕРЕМОЖЦІВ 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5.1. Порядок визначення місць в таблиці групи та кубкових іграх наступний: 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а) місця команд визначаються за найбільшою сум</w:t>
      </w:r>
      <w:r w:rsidR="007D4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 очок, набраних в усіх зустрі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чах, при цьому за виграш нараховується три очки, за нічию - одне; 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б) у випадку однакової кількості очок у двох і більше команд</w:t>
      </w:r>
      <w:r w:rsidR="007D4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                        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13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- різниця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="007D4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абитих та пропущених м'ячів; </w:t>
      </w:r>
      <w:r w:rsidR="007D4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найбільша кількість</w:t>
      </w:r>
      <w:r w:rsidR="007D4D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забитих м'ячів</w:t>
      </w:r>
      <w:r w:rsidR="005013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 </w:t>
      </w:r>
      <w:r w:rsidR="005013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абсолютній рівності цих показників місця </w:t>
      </w:r>
      <w:r w:rsidR="005013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команд визначаються жеребом. </w:t>
      </w:r>
      <w:r w:rsidR="005013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</w:t>
      </w:r>
      <w:r w:rsidR="00FC6258"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іграх на проходження далі (півфінали та фінал) в разі нічиї призначається серія штрафних 6-метрових ударів ( по 5 в серії і далі до першого промаху).</w:t>
      </w:r>
    </w:p>
    <w:p w:rsidR="00FC6258" w:rsidRPr="00FC6258" w:rsidRDefault="00FC6258" w:rsidP="005F33F9">
      <w:pPr>
        <w:shd w:val="clear" w:color="auto" w:fill="FFFFFF"/>
        <w:spacing w:before="100" w:beforeAutospacing="1" w:after="100" w:afterAutospacing="1" w:line="240" w:lineRule="auto"/>
        <w:ind w:firstLine="95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YІ.</w:t>
      </w:r>
      <w:r w:rsidR="005013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ПОРЯДОК ОФОРМЛЕННЯ ДОКУМЕНТІВ 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6.1. Для заявки подаються наступні документи: 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A93F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заявочний внесок в розмірі 1</w:t>
      </w:r>
      <w:r w:rsidR="005013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50 гривень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 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п</w:t>
      </w:r>
      <w:r w:rsidR="005013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аспорт учасника; 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заяво</w:t>
      </w:r>
      <w:r w:rsidR="005013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чний лист</w:t>
      </w:r>
      <w:r w:rsidR="003B4B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двох екземплярах( форма додає</w:t>
      </w:r>
      <w:r w:rsidR="005013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ться).</w:t>
      </w:r>
      <w:r w:rsidR="003B4B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6.2. </w:t>
      </w:r>
      <w:r w:rsidR="005013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Заявки подаються до виконкому ГРФФ терміном</w:t>
      </w:r>
      <w:r w:rsidR="00F36B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пізніше 26.02.2017</w:t>
      </w:r>
      <w:r w:rsidR="00CA1E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р. 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CA1E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Змагання проводяться на </w:t>
      </w:r>
      <w:r w:rsidR="00F36B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протязі  05,12,19,26 березня 2017</w:t>
      </w:r>
      <w:r w:rsidR="00CA1E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року.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6.3. </w:t>
      </w:r>
      <w:proofErr w:type="spellStart"/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Дозаявка</w:t>
      </w:r>
      <w:proofErr w:type="spellEnd"/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перезаявка гравців у ході змагань не допускається. 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6.4. Протягом турніру гравці можуть виступати в складі тільки однієї кома</w:t>
      </w:r>
      <w:r w:rsidR="005013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нди. </w:t>
      </w:r>
      <w:r w:rsidR="005013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5013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                       YІІ. СУДДІВСТВО ЗМАГАНЬ 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7.1. Суддівство змагань здійснюється суддями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рекомендованими суддівською ко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егією і затвердженими президією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федерації фу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тболу.  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7.2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Якщо гра буде зірвана через недисциплінован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поведінку гравців однієї з ко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манд, ця ком</w:t>
      </w:r>
      <w:r w:rsidR="00A93F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анда знімається з змагань.. </w:t>
      </w:r>
      <w:r w:rsidR="00A93F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7.3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Гравці, що отримали три жовті картки або о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дну червону, автоматично пропус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кають чергову гру. Гравці, що допустили дисциплінарні проступки (покарані червоною карткою), розглядаються на засіданні суддівської колегії, де в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изначається строк їх дисква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ліфікації. До рішення суддівської колегії тренер (предст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авник команди), не має права до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пускати гравця до участі в матчах. У випадку участі в гр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футболістів, вилучених в попе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редній грі, які мають три попередження, не внесених в п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ротокол гри чи незаявлених грав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ців, команді зараховується поразка з рахунком -:+, а супернику - перемога з рахунком +: -. 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</w:t>
      </w:r>
      <w:r w:rsidR="003B4B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B4B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YІІІ.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ФІНАНСУВАННЯ 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8.1.Витрати, зв'язані з участю команд в змагання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х, відносяться за рахунок відря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джуючих організацій або спонсорів, а саме: проїзд до місця змагань і назад, харчування гравці</w:t>
      </w:r>
      <w:r w:rsidR="00F36B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команди (16 чоловік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36B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представника та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тренера</w:t>
      </w:r>
      <w:r w:rsidR="00F36B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8.2. 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Оплата за харчування двом суддям які обслуговую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 гру, проводиться з</w:t>
      </w:r>
      <w:r w:rsidR="005F33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355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розрахунок команд учасниць</w:t>
      </w:r>
      <w:r w:rsidR="005F33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                                                          </w:t>
      </w:r>
      <w:r w:rsidR="003B4B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A1E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</w:t>
      </w:r>
      <w:r w:rsidR="005F33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1E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5F33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CA1E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</w:t>
      </w:r>
      <w:r w:rsidR="005F33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1E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.                           ІХ.</w:t>
      </w:r>
      <w:r w:rsidR="003B4B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НАГОРОДЖЕННЯ 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9.1. Команда</w:t>
      </w:r>
      <w:r w:rsidR="003B4B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пере</w:t>
      </w:r>
      <w:r w:rsidR="003B4B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можець нагороджується </w:t>
      </w:r>
      <w:r w:rsidR="00F36B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Кубком району та медалями</w:t>
      </w:r>
      <w:r w:rsidR="003B4B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9.2.</w:t>
      </w:r>
      <w:r w:rsidR="003B4B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Кращі гравці 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воротар, з</w:t>
      </w:r>
      <w:r w:rsidR="003B4B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ахисник, нападаючий, кращий бом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бардир фіналу, кращий суддя визначені організаторами </w:t>
      </w:r>
      <w:r w:rsidR="003B4B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спонсорами турніру, відзнача</w:t>
      </w:r>
      <w:r w:rsidRPr="00FC6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ються пам'ятними сувенірами.</w:t>
      </w:r>
    </w:p>
    <w:p w:rsidR="000B4E58" w:rsidRDefault="000B4E58"/>
    <w:p w:rsidR="002052E9" w:rsidRDefault="002052E9"/>
    <w:p w:rsidR="002052E9" w:rsidRDefault="002052E9">
      <w:pPr>
        <w:rPr>
          <w:sz w:val="28"/>
          <w:szCs w:val="28"/>
        </w:rPr>
      </w:pPr>
      <w:r w:rsidRPr="002052E9">
        <w:rPr>
          <w:sz w:val="28"/>
          <w:szCs w:val="28"/>
        </w:rPr>
        <w:t xml:space="preserve">                                                               ЗАЯВКА</w:t>
      </w:r>
    </w:p>
    <w:p w:rsidR="002052E9" w:rsidRDefault="002052E9">
      <w:pPr>
        <w:rPr>
          <w:sz w:val="28"/>
          <w:szCs w:val="28"/>
        </w:rPr>
      </w:pPr>
      <w:r>
        <w:rPr>
          <w:sz w:val="28"/>
          <w:szCs w:val="28"/>
        </w:rPr>
        <w:t>На участь команди _____________________________________________</w:t>
      </w:r>
    </w:p>
    <w:p w:rsidR="002052E9" w:rsidRDefault="002052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осінньому кубку району з міні-футболу 2016 року</w:t>
      </w:r>
    </w:p>
    <w:p w:rsidR="002052E9" w:rsidRDefault="002052E9">
      <w:pPr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3968"/>
        <w:gridCol w:w="1929"/>
        <w:gridCol w:w="1968"/>
        <w:gridCol w:w="1882"/>
      </w:tblGrid>
      <w:tr w:rsidR="002052E9" w:rsidTr="002052E9">
        <w:tc>
          <w:tcPr>
            <w:tcW w:w="567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 , ІМЯ ПО БАТЬКОВІ</w:t>
            </w: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НАРОДЖЕННЯ</w:t>
            </w: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ПРОЖИВАННЯ</w:t>
            </w: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ВІЗА ЛІКАРЯ</w:t>
            </w:r>
          </w:p>
        </w:tc>
      </w:tr>
      <w:tr w:rsidR="002052E9" w:rsidTr="002052E9">
        <w:tc>
          <w:tcPr>
            <w:tcW w:w="567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</w:tr>
      <w:tr w:rsidR="002052E9" w:rsidTr="002052E9">
        <w:tc>
          <w:tcPr>
            <w:tcW w:w="567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</w:tr>
      <w:tr w:rsidR="002052E9" w:rsidTr="002052E9">
        <w:tc>
          <w:tcPr>
            <w:tcW w:w="567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</w:tr>
      <w:tr w:rsidR="002052E9" w:rsidTr="002052E9">
        <w:tc>
          <w:tcPr>
            <w:tcW w:w="567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</w:tr>
      <w:tr w:rsidR="002052E9" w:rsidTr="002052E9">
        <w:tc>
          <w:tcPr>
            <w:tcW w:w="567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</w:tr>
      <w:tr w:rsidR="002052E9" w:rsidTr="002052E9">
        <w:tc>
          <w:tcPr>
            <w:tcW w:w="567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</w:tr>
      <w:tr w:rsidR="002052E9" w:rsidTr="002052E9">
        <w:tc>
          <w:tcPr>
            <w:tcW w:w="567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</w:tr>
      <w:tr w:rsidR="002052E9" w:rsidTr="002052E9">
        <w:tc>
          <w:tcPr>
            <w:tcW w:w="567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</w:tr>
      <w:tr w:rsidR="002052E9" w:rsidTr="002052E9">
        <w:tc>
          <w:tcPr>
            <w:tcW w:w="567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</w:tr>
      <w:tr w:rsidR="002052E9" w:rsidTr="002052E9">
        <w:tc>
          <w:tcPr>
            <w:tcW w:w="567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</w:tr>
      <w:tr w:rsidR="002052E9" w:rsidTr="002052E9">
        <w:tc>
          <w:tcPr>
            <w:tcW w:w="567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</w:tr>
      <w:tr w:rsidR="002052E9" w:rsidTr="002052E9">
        <w:tc>
          <w:tcPr>
            <w:tcW w:w="567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</w:tr>
      <w:tr w:rsidR="002052E9" w:rsidTr="002052E9">
        <w:tc>
          <w:tcPr>
            <w:tcW w:w="567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</w:tr>
      <w:tr w:rsidR="002052E9" w:rsidTr="002052E9">
        <w:tc>
          <w:tcPr>
            <w:tcW w:w="567" w:type="dxa"/>
          </w:tcPr>
          <w:p w:rsidR="002052E9" w:rsidRDefault="00205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</w:tr>
      <w:tr w:rsidR="002052E9" w:rsidTr="002052E9">
        <w:tc>
          <w:tcPr>
            <w:tcW w:w="567" w:type="dxa"/>
          </w:tcPr>
          <w:p w:rsidR="002052E9" w:rsidRDefault="006F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</w:tr>
      <w:tr w:rsidR="002052E9" w:rsidTr="002052E9">
        <w:tc>
          <w:tcPr>
            <w:tcW w:w="567" w:type="dxa"/>
          </w:tcPr>
          <w:p w:rsidR="002052E9" w:rsidRDefault="006F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2052E9" w:rsidRDefault="002052E9">
            <w:pPr>
              <w:rPr>
                <w:sz w:val="28"/>
                <w:szCs w:val="28"/>
              </w:rPr>
            </w:pPr>
          </w:p>
        </w:tc>
      </w:tr>
    </w:tbl>
    <w:p w:rsidR="002052E9" w:rsidRDefault="002052E9">
      <w:pPr>
        <w:rPr>
          <w:sz w:val="28"/>
          <w:szCs w:val="28"/>
        </w:rPr>
      </w:pPr>
    </w:p>
    <w:p w:rsidR="006F2217" w:rsidRDefault="006F2217">
      <w:pPr>
        <w:rPr>
          <w:sz w:val="28"/>
          <w:szCs w:val="28"/>
        </w:rPr>
      </w:pPr>
      <w:r>
        <w:rPr>
          <w:sz w:val="28"/>
          <w:szCs w:val="28"/>
        </w:rPr>
        <w:t>ЛІКАР__________________________________________________________</w:t>
      </w:r>
    </w:p>
    <w:p w:rsidR="006F2217" w:rsidRDefault="006F2217">
      <w:pPr>
        <w:rPr>
          <w:sz w:val="28"/>
          <w:szCs w:val="28"/>
        </w:rPr>
      </w:pPr>
      <w:r>
        <w:rPr>
          <w:sz w:val="28"/>
          <w:szCs w:val="28"/>
        </w:rPr>
        <w:t>ПРЕДСТАВНИК КОМАНДИ_________________________________________</w:t>
      </w:r>
    </w:p>
    <w:p w:rsidR="006F2217" w:rsidRPr="002052E9" w:rsidRDefault="006F2217">
      <w:pPr>
        <w:rPr>
          <w:sz w:val="28"/>
          <w:szCs w:val="28"/>
        </w:rPr>
      </w:pPr>
      <w:r>
        <w:rPr>
          <w:sz w:val="28"/>
          <w:szCs w:val="28"/>
        </w:rPr>
        <w:t>ГОЛОВА  СІЛЬСЬКОЇ РАДИ_________________________________________</w:t>
      </w:r>
    </w:p>
    <w:sectPr w:rsidR="006F2217" w:rsidRPr="002052E9" w:rsidSect="000B4E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258"/>
    <w:rsid w:val="000B4E58"/>
    <w:rsid w:val="00107013"/>
    <w:rsid w:val="00182B4D"/>
    <w:rsid w:val="001C0077"/>
    <w:rsid w:val="002052E9"/>
    <w:rsid w:val="003551DF"/>
    <w:rsid w:val="003B4B3B"/>
    <w:rsid w:val="00476D78"/>
    <w:rsid w:val="00501355"/>
    <w:rsid w:val="00576452"/>
    <w:rsid w:val="005F33F9"/>
    <w:rsid w:val="006644B7"/>
    <w:rsid w:val="006F2217"/>
    <w:rsid w:val="00732654"/>
    <w:rsid w:val="00776742"/>
    <w:rsid w:val="007A72CB"/>
    <w:rsid w:val="007D4D70"/>
    <w:rsid w:val="0081285E"/>
    <w:rsid w:val="00A35643"/>
    <w:rsid w:val="00A93FC5"/>
    <w:rsid w:val="00AD1590"/>
    <w:rsid w:val="00C73B4E"/>
    <w:rsid w:val="00CA1EFA"/>
    <w:rsid w:val="00F36B94"/>
    <w:rsid w:val="00FC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6258"/>
  </w:style>
  <w:style w:type="paragraph" w:styleId="a3">
    <w:name w:val="Normal (Web)"/>
    <w:basedOn w:val="a"/>
    <w:uiPriority w:val="99"/>
    <w:semiHidden/>
    <w:unhideWhenUsed/>
    <w:rsid w:val="00FC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05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3808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2016-10-31T10:35:00Z</dcterms:created>
  <dcterms:modified xsi:type="dcterms:W3CDTF">2017-02-19T11:47:00Z</dcterms:modified>
</cp:coreProperties>
</file>